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“</w:t>
      </w:r>
      <w:r>
        <w:rPr>
          <w:rFonts w:ascii="仿宋" w:hAnsi="仿宋" w:eastAsia="仿宋"/>
          <w:b/>
          <w:sz w:val="32"/>
          <w:szCs w:val="32"/>
        </w:rPr>
        <w:t>根技术联合创新人才产教融合基地</w:t>
      </w:r>
      <w:r>
        <w:rPr>
          <w:rFonts w:hint="eastAsia" w:ascii="仿宋" w:hAnsi="仿宋" w:eastAsia="仿宋"/>
          <w:b/>
          <w:sz w:val="32"/>
          <w:szCs w:val="32"/>
        </w:rPr>
        <w:t>与</w:t>
      </w:r>
      <w:r>
        <w:rPr>
          <w:rFonts w:ascii="仿宋" w:hAnsi="仿宋" w:eastAsia="仿宋"/>
          <w:b/>
          <w:sz w:val="32"/>
          <w:szCs w:val="32"/>
        </w:rPr>
        <w:t>根技术联合创新人才培养基地</w:t>
      </w:r>
      <w:r>
        <w:rPr>
          <w:rFonts w:hint="eastAsia" w:ascii="仿宋" w:hAnsi="仿宋" w:eastAsia="仿宋"/>
          <w:b/>
          <w:sz w:val="32"/>
          <w:szCs w:val="32"/>
        </w:rPr>
        <w:t>”</w:t>
      </w:r>
      <w:r>
        <w:rPr>
          <w:rFonts w:ascii="仿宋" w:hAnsi="仿宋" w:eastAsia="仿宋"/>
          <w:b/>
          <w:sz w:val="32"/>
          <w:szCs w:val="32"/>
        </w:rPr>
        <w:t>建设标准</w:t>
      </w:r>
      <w:bookmarkEnd w:id="0"/>
      <w:r>
        <w:rPr>
          <w:rFonts w:ascii="仿宋" w:hAnsi="仿宋" w:eastAsia="仿宋"/>
          <w:b/>
          <w:sz w:val="32"/>
          <w:szCs w:val="32"/>
        </w:rPr>
        <w:t>(2023版)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6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063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二级指标</w:t>
            </w:r>
          </w:p>
        </w:tc>
        <w:tc>
          <w:tcPr>
            <w:tcW w:w="10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指标内涵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1.基础建设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1.1理念思路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.1.1坚持以立德树人为根本，以服务发展为宗旨，以促进就业为导向，以基地为基础、产业为支持，高质量对接区域根技术产业，对接职业岗位群、专业技术领域，优化资源配置，实现共建共享。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1.1.2基地建设调研论证充分，规划方案科学合理，体现规范化、集约化、信息化等现代化实训基地建设理念。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1.2设施设备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1.2.1基地建筑面积不低于500平方米。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1.2.2基地布局合理。实训场景贴合企业根技术联合创新服务场景。场地装修展现根技术联合创新文化、先进企业文化。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</w:rPr>
              <w:t>1.2.3设施设备规划合理，教学实训设备配置完善，满足教学需要：</w:t>
            </w:r>
            <w:r>
              <w:rPr>
                <w:rFonts w:ascii="仿宋" w:hAnsi="仿宋" w:eastAsia="仿宋"/>
                <w:b/>
              </w:rPr>
              <w:t>a.根技术设备：</w:t>
            </w:r>
            <w:r>
              <w:rPr>
                <w:rFonts w:ascii="仿宋" w:hAnsi="仿宋" w:eastAsia="仿宋"/>
              </w:rPr>
              <w:t>设施设备围绕鲲鹏、昇腾、鸿蒙等根技术领域进行规划配置；</w:t>
            </w:r>
            <w:r>
              <w:rPr>
                <w:rFonts w:ascii="仿宋" w:hAnsi="仿宋" w:eastAsia="仿宋"/>
                <w:b/>
              </w:rPr>
              <w:t>b.多专业技术：</w:t>
            </w:r>
            <w:r>
              <w:rPr>
                <w:rFonts w:ascii="仿宋" w:hAnsi="仿宋" w:eastAsia="仿宋"/>
              </w:rPr>
              <w:t>围绕鲲鹏、昇腾、鸿蒙技术覆盖多个专业及技术方向（大数据、云计算、物联网、人工智能、移动应用开发、智能网联汽车等）。</w:t>
            </w:r>
            <w:r>
              <w:rPr>
                <w:rFonts w:ascii="仿宋" w:hAnsi="仿宋" w:eastAsia="仿宋"/>
                <w:b/>
              </w:rPr>
              <w:t>c.支持并发实验：</w:t>
            </w:r>
            <w:r>
              <w:rPr>
                <w:rFonts w:ascii="仿宋" w:hAnsi="仿宋" w:eastAsia="仿宋"/>
              </w:rPr>
              <w:t>实训设备支持2个及以上专业方向，各专业支持50人及以上并发实训。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1.3信息化建设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1.3.1搭建国产化数字教学环境，实现信息点全覆盖、百兆带宽到桌面，网络安全、运行稳定。</w:t>
            </w:r>
            <w:r>
              <w:rPr>
                <w:rFonts w:ascii="仿宋" w:hAnsi="仿宋" w:eastAsia="仿宋"/>
                <w:b/>
              </w:rPr>
              <w:t>a.硬件设施：</w:t>
            </w:r>
            <w:r>
              <w:rPr>
                <w:rFonts w:ascii="仿宋" w:hAnsi="仿宋" w:eastAsia="仿宋"/>
              </w:rPr>
              <w:t>使用国产化ARM服务器，包括通用计算服务器(鲲鹏系列），AI计算服务器（</w:t>
            </w:r>
            <w:r>
              <w:rPr>
                <w:rFonts w:ascii="仿宋" w:hAnsi="仿宋" w:eastAsia="仿宋"/>
                <w:color w:val="000000"/>
              </w:rPr>
              <w:t>Atlas800</w:t>
            </w:r>
            <w:r>
              <w:rPr>
                <w:rFonts w:ascii="仿宋" w:hAnsi="仿宋" w:eastAsia="仿宋"/>
              </w:rPr>
              <w:t xml:space="preserve">），以及以国产芯片为核心的Atlas 200 DK开发板 </w:t>
            </w:r>
            <w:r>
              <w:rPr>
                <w:rFonts w:ascii="仿宋" w:hAnsi="仿宋" w:eastAsia="仿宋"/>
                <w:b/>
              </w:rPr>
              <w:t>；b.软件全栈：</w:t>
            </w:r>
            <w:r>
              <w:rPr>
                <w:rFonts w:ascii="仿宋" w:hAnsi="仿宋" w:eastAsia="仿宋"/>
                <w:sz w:val="20"/>
              </w:rPr>
              <w:t>软件开发使用鲲鹏开源全栈开发技术</w:t>
            </w:r>
            <w:r>
              <w:rPr>
                <w:rFonts w:ascii="仿宋" w:hAnsi="仿宋" w:eastAsia="仿宋"/>
              </w:rPr>
              <w:t>,包OpenEuler操作系统，OpenGauss数据库，AI计算使用昇腾全栈人工智能技术，包括异构计算框架CANN，MindSpore人工智能计算框架等，</w:t>
            </w:r>
            <w:r>
              <w:rPr>
                <w:rFonts w:ascii="仿宋" w:hAnsi="仿宋" w:eastAsia="仿宋"/>
                <w:color w:val="000000"/>
              </w:rPr>
              <w:t>终端使用</w:t>
            </w:r>
            <w:r>
              <w:rPr>
                <w:rFonts w:ascii="仿宋" w:hAnsi="仿宋" w:eastAsia="仿宋"/>
              </w:rPr>
              <w:t>OpenHarmony操作系统。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1.3.2</w:t>
            </w:r>
            <w:r>
              <w:rPr>
                <w:rFonts w:hint="eastAsia" w:ascii="仿宋" w:hAnsi="仿宋" w:eastAsia="仿宋"/>
              </w:rPr>
              <w:t>建设</w:t>
            </w:r>
            <w:r>
              <w:rPr>
                <w:rFonts w:ascii="仿宋" w:hAnsi="仿宋" w:eastAsia="仿宋"/>
              </w:rPr>
              <w:t>与根技术人才培养标准相适应的Talent教学平台：</w:t>
            </w:r>
            <w:r>
              <w:rPr>
                <w:rFonts w:ascii="仿宋" w:hAnsi="仿宋" w:eastAsia="仿宋"/>
                <w:b/>
              </w:rPr>
              <w:t>a.平台功能：</w:t>
            </w:r>
            <w:r>
              <w:rPr>
                <w:rFonts w:ascii="仿宋" w:hAnsi="仿宋" w:eastAsia="仿宋"/>
              </w:rPr>
              <w:t>具备一站式功能，含教、学、练、考、评、管教学全流程；落实集约化建设、开放兼容的理念，单平台需支持6个</w:t>
            </w:r>
            <w:r>
              <w:rPr>
                <w:rFonts w:hint="eastAsia" w:ascii="仿宋" w:hAnsi="仿宋" w:eastAsia="仿宋"/>
              </w:rPr>
              <w:t>及</w:t>
            </w:r>
            <w:r>
              <w:rPr>
                <w:rFonts w:ascii="仿宋" w:hAnsi="仿宋" w:eastAsia="仿宋"/>
              </w:rPr>
              <w:t>以上根技术专业方向（包括但不限于大数据、云计算、物联网、人工智能、移动应用开发、智能网联汽车等）；开放教学/实验/运营/评测4类API套件，便于平台功能扩展；</w:t>
            </w:r>
            <w:r>
              <w:rPr>
                <w:rFonts w:ascii="仿宋" w:hAnsi="仿宋" w:eastAsia="仿宋"/>
                <w:b/>
              </w:rPr>
              <w:t>b.实验环境：</w:t>
            </w:r>
            <w:r>
              <w:rPr>
                <w:rFonts w:ascii="仿宋" w:hAnsi="仿宋" w:eastAsia="仿宋"/>
              </w:rPr>
              <w:t>支持多元化、多形式实践教学，支持不少于2类实验环境，包括物理教具、容器、虚拟机、实验箱等，涉及硬件均使用国产芯片；</w:t>
            </w:r>
            <w:r>
              <w:rPr>
                <w:rFonts w:ascii="仿宋" w:hAnsi="仿宋" w:eastAsia="仿宋"/>
                <w:b/>
              </w:rPr>
              <w:t>c.课程体系</w:t>
            </w:r>
            <w:r>
              <w:rPr>
                <w:rFonts w:ascii="仿宋" w:hAnsi="仿宋" w:eastAsia="仿宋"/>
              </w:rPr>
              <w:t>：课程体系完备，不少于三类课程，包括基础课、核心课、案例实践课，各方向均包含行业应用场景课程。课程需与平台、服务器、教学实训环境、教学实训套件充分适配。</w:t>
            </w:r>
            <w:r>
              <w:rPr>
                <w:rFonts w:ascii="仿宋" w:hAnsi="仿宋" w:eastAsia="仿宋"/>
                <w:b/>
              </w:rPr>
              <w:t>d.安全可信</w:t>
            </w:r>
            <w:r>
              <w:rPr>
                <w:rFonts w:ascii="仿宋" w:hAnsi="仿宋" w:eastAsia="仿宋"/>
              </w:rPr>
              <w:t>：保障系统安全，支持入侵检测、安全加固、白名单访问、日志管理、日志审计、告警上报、数据备份等功能。满足隐私、操作系统安全、web安全、数据库\服务器\第三方软件漏洞等安全要求。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1.4教学团队</w:t>
            </w:r>
          </w:p>
        </w:tc>
        <w:tc>
          <w:tcPr>
            <w:tcW w:w="10632" w:type="dxa"/>
            <w:vAlign w:val="center"/>
          </w:tcPr>
          <w:p>
            <w:pPr>
              <w:pStyle w:val="10"/>
              <w:widowControl w:val="0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1.4.1基地负责人具有相关专业本科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及</w:t>
            </w:r>
            <w:r>
              <w:rPr>
                <w:rFonts w:ascii="仿宋" w:hAnsi="仿宋" w:eastAsia="仿宋"/>
                <w:sz w:val="21"/>
                <w:szCs w:val="21"/>
              </w:rPr>
              <w:t>以上学历，从事本专业实践教学3年以上。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pStyle w:val="10"/>
              <w:widowControl w:val="0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1.4.2基地配备专兼职招生团队，能够引入当地资源进行招生，保障基地日常运行。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pStyle w:val="10"/>
              <w:widowControl w:val="0"/>
              <w:ind w:firstLine="0" w:firstLineChars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1.4.3基地配有专兼职管理人员，能做好实训基地常规管理、设施设备日常维保和简单维修，并辅助专业教师开展技能教学。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pStyle w:val="10"/>
              <w:widowControl w:val="0"/>
              <w:ind w:firstLine="0"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1.4.4与企业建立高水平双师队伍，基地至少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具备</w:t>
            </w:r>
            <w:r>
              <w:rPr>
                <w:rFonts w:ascii="仿宋" w:hAnsi="仿宋" w:eastAsia="仿宋"/>
                <w:sz w:val="21"/>
                <w:szCs w:val="21"/>
              </w:rPr>
              <w:t>2名及以上头部根技术企业原厂师资。师资需具备双一流本科/研究生及以上学历，由电子信息/通信/计算机等相关大类专业毕业，具备三年以上同行业工作经验，具备双语授课能力，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能够</w:t>
            </w:r>
            <w:r>
              <w:rPr>
                <w:rFonts w:ascii="仿宋" w:hAnsi="仿宋" w:eastAsia="仿宋"/>
                <w:sz w:val="21"/>
                <w:szCs w:val="21"/>
              </w:rPr>
              <w:t>指导基地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进行</w:t>
            </w:r>
            <w:r>
              <w:rPr>
                <w:rFonts w:ascii="仿宋" w:hAnsi="仿宋" w:eastAsia="仿宋"/>
                <w:sz w:val="21"/>
                <w:szCs w:val="21"/>
              </w:rPr>
              <w:t>能力建设、教材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编制</w:t>
            </w:r>
            <w:r>
              <w:rPr>
                <w:rFonts w:ascii="仿宋" w:hAnsi="仿宋" w:eastAsia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题库开发、</w:t>
            </w:r>
            <w:r>
              <w:rPr>
                <w:rFonts w:ascii="仿宋" w:hAnsi="仿宋" w:eastAsia="仿宋"/>
                <w:sz w:val="21"/>
                <w:szCs w:val="21"/>
              </w:rPr>
              <w:t>人才培养方案设计、国际化教学等工作。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2.运行管理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2.1管理机制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  <w:r>
              <w:rPr>
                <w:rFonts w:ascii="仿宋" w:hAnsi="仿宋" w:eastAsia="仿宋"/>
              </w:rPr>
              <w:t>.1.1融合企业管理理念，建立专门的实训基地管理机制，人员配置合理，职责分工明确，考核、评价、奖惩制度健全。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2.1.2管理制度执行规范、有效，实施信息化管理。设备采购程序规范，实训室及设备使用有专人维护。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2.2教学运行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2.2.1建立实践教学质量保障体系。有规范完备的实践教学计划、课程标准、技能教学教材等教学文件。</w:t>
            </w:r>
          </w:p>
        </w:tc>
        <w:tc>
          <w:tcPr>
            <w:tcW w:w="10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必</w:t>
            </w: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2.2.2建立评价主体多元、方式多样的评价体系，重视过程性评价和形成性评价，强化综合实践能力考核。</w:t>
            </w:r>
          </w:p>
        </w:tc>
        <w:tc>
          <w:tcPr>
            <w:tcW w:w="10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3.服务成效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3.1人才培养</w:t>
            </w:r>
          </w:p>
        </w:tc>
        <w:tc>
          <w:tcPr>
            <w:tcW w:w="1063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3.1.1</w:t>
            </w:r>
            <w:r>
              <w:rPr>
                <w:rFonts w:hint="eastAsia" w:ascii="仿宋" w:hAnsi="仿宋" w:eastAsia="仿宋"/>
              </w:rPr>
              <w:t>积极组织开展国家职业技术技能、职业技能等级、专业教学、信息技术应用创新、企业认证培训等多形式的培训。三年至少培养2</w:t>
            </w:r>
            <w:r>
              <w:rPr>
                <w:rFonts w:ascii="仿宋" w:hAnsi="仿宋" w:eastAsia="仿宋"/>
              </w:rPr>
              <w:t>0</w:t>
            </w:r>
            <w:r>
              <w:rPr>
                <w:rFonts w:hint="eastAsia" w:ascii="仿宋" w:hAnsi="仿宋" w:eastAsia="仿宋"/>
              </w:rPr>
              <w:t>名通过H</w:t>
            </w:r>
            <w:r>
              <w:rPr>
                <w:rFonts w:ascii="仿宋" w:hAnsi="仿宋" w:eastAsia="仿宋"/>
              </w:rPr>
              <w:t>CIA</w:t>
            </w:r>
            <w:r>
              <w:rPr>
                <w:rFonts w:hint="eastAsia" w:ascii="仿宋" w:hAnsi="仿宋" w:eastAsia="仿宋"/>
              </w:rPr>
              <w:t>认证的学员。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加分项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3.2教师能力</w:t>
            </w:r>
          </w:p>
        </w:tc>
        <w:tc>
          <w:tcPr>
            <w:tcW w:w="10632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3.2.1具备完备的教师技术技能培训计划。近三年，教学团队成员共计通过10人次的HCIP认证。每年不少于2人次参与头部企业组织的原厂专项培训。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加分项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0"/>
        <w:tab w:val="clear" w:pos="9020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8512663"/>
                          </w:sdtPr>
                          <w:sdtContent>
                            <w:p>
                              <w:pPr>
                                <w:pStyle w:val="4"/>
                                <w:tabs>
                                  <w:tab w:val="center" w:pos="4153"/>
                                  <w:tab w:val="right" w:pos="8306"/>
                                  <w:tab w:val="clear" w:pos="4510"/>
                                  <w:tab w:val="clear" w:pos="9020"/>
                                </w:tabs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2663"/>
                    </w:sdtPr>
                    <w:sdtContent>
                      <w:p>
                        <w:pPr>
                          <w:pStyle w:val="4"/>
                          <w:tabs>
                            <w:tab w:val="center" w:pos="4153"/>
                            <w:tab w:val="right" w:pos="8306"/>
                            <w:tab w:val="clear" w:pos="4510"/>
                            <w:tab w:val="clear" w:pos="9020"/>
                          </w:tabs>
                          <w:jc w:val="center"/>
                        </w:pPr>
                        <w:r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32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center" w:pos="4153"/>
        <w:tab w:val="right" w:pos="8306"/>
        <w:tab w:val="clear" w:pos="4510"/>
        <w:tab w:val="clear" w:pos="90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YzIwNjk3YjhjNGY1NmMzMTQ2MTdjOGY4YmMyOTgifQ=="/>
  </w:docVars>
  <w:rsids>
    <w:rsidRoot w:val="79F21C33"/>
    <w:rsid w:val="00464B51"/>
    <w:rsid w:val="004C17D4"/>
    <w:rsid w:val="005449D9"/>
    <w:rsid w:val="006942C4"/>
    <w:rsid w:val="008B5DE2"/>
    <w:rsid w:val="097D4EFA"/>
    <w:rsid w:val="0A194CB7"/>
    <w:rsid w:val="0E027550"/>
    <w:rsid w:val="26CD39E1"/>
    <w:rsid w:val="35470CB9"/>
    <w:rsid w:val="79F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列出段落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 Char"/>
    <w:basedOn w:val="8"/>
    <w:link w:val="4"/>
    <w:qFormat/>
    <w:uiPriority w:val="99"/>
    <w:rPr>
      <w:rFonts w:ascii="Arial" w:hAnsi="Arial" w:eastAsia="宋体" w:cs="Times New Roman"/>
      <w:snapToGrid w:val="0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Times New Roman" w:hAnsi="Times New Roman" w:eastAsia="宋体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3457</Words>
  <Characters>3992</Characters>
  <Lines>49</Lines>
  <Paragraphs>13</Paragraphs>
  <TotalTime>21</TotalTime>
  <ScaleCrop>false</ScaleCrop>
  <LinksUpToDate>false</LinksUpToDate>
  <CharactersWithSpaces>4437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2023-09-08T06:46:00Z</dcterms:created>
  <dc:creator>Administrator</dc:creator>
  <cp:lastModifiedBy>Administrator</cp:lastModifiedBy>
  <cp:lastPrinted>2023-09-08T09:04:00Z</cp:lastPrinted>
  <dcterms:modified xsi:type="dcterms:W3CDTF">2023-09-08T09:57:57Z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E7089CF3927C436E9100A798C56570A9_13</vt:lpwstr>
  </property>
</Properties>
</file>